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39" w:rsidRDefault="00E76292" w:rsidP="00C70B39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E76292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C70B39" w:rsidRPr="00C70B39">
        <w:rPr>
          <w:rFonts w:ascii="Arial" w:hAnsi="Arial" w:cs="Arial"/>
          <w:bCs/>
          <w:spacing w:val="-3"/>
          <w:sz w:val="22"/>
          <w:szCs w:val="22"/>
        </w:rPr>
        <w:t>Health Legislation (Health Practitioner Regulation National Law) Amendment Bill 2010</w:t>
      </w:r>
      <w:r w:rsidR="00C70B39">
        <w:rPr>
          <w:rFonts w:ascii="Arial" w:hAnsi="Arial" w:cs="Arial"/>
          <w:bCs/>
          <w:spacing w:val="-3"/>
          <w:sz w:val="22"/>
          <w:szCs w:val="22"/>
        </w:rPr>
        <w:t xml:space="preserve"> (the Bill) </w:t>
      </w:r>
      <w:r w:rsidRPr="00E76292">
        <w:rPr>
          <w:rFonts w:ascii="Arial" w:hAnsi="Arial" w:cs="Arial"/>
          <w:bCs/>
          <w:spacing w:val="-3"/>
          <w:sz w:val="22"/>
          <w:szCs w:val="22"/>
        </w:rPr>
        <w:t>provide</w:t>
      </w:r>
      <w:r w:rsidR="00C70B39">
        <w:rPr>
          <w:rFonts w:ascii="Arial" w:hAnsi="Arial" w:cs="Arial"/>
          <w:bCs/>
          <w:spacing w:val="-3"/>
          <w:sz w:val="22"/>
          <w:szCs w:val="22"/>
        </w:rPr>
        <w:t>s</w:t>
      </w:r>
      <w:r w:rsidRPr="00E7629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C70B39">
        <w:rPr>
          <w:rFonts w:ascii="Arial" w:hAnsi="Arial" w:cs="Arial"/>
          <w:bCs/>
          <w:spacing w:val="-3"/>
          <w:sz w:val="22"/>
          <w:szCs w:val="22"/>
        </w:rPr>
        <w:t xml:space="preserve">for administrative and consequential amendments to </w:t>
      </w:r>
      <w:smartTag w:uri="urn:schemas-microsoft-com:office:smarttags" w:element="State">
        <w:smartTag w:uri="urn:schemas-microsoft-com:office:smarttags" w:element="place">
          <w:r w:rsidR="00C70B39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="00C70B39">
        <w:rPr>
          <w:rFonts w:ascii="Arial" w:hAnsi="Arial" w:cs="Arial"/>
          <w:bCs/>
          <w:spacing w:val="-3"/>
          <w:sz w:val="22"/>
          <w:szCs w:val="22"/>
        </w:rPr>
        <w:t xml:space="preserve"> legislation to support the implementation of the </w:t>
      </w:r>
      <w:r w:rsidR="00C70B39" w:rsidRPr="00E76292">
        <w:rPr>
          <w:rFonts w:ascii="Arial" w:hAnsi="Arial" w:cs="Arial"/>
          <w:bCs/>
          <w:spacing w:val="-3"/>
          <w:sz w:val="22"/>
          <w:szCs w:val="22"/>
        </w:rPr>
        <w:t>National Registration and Accreditation Scheme for Health Professions (the National Scheme</w:t>
      </w:r>
      <w:r w:rsidR="00C70B39">
        <w:rPr>
          <w:rFonts w:ascii="Arial" w:hAnsi="Arial" w:cs="Arial"/>
          <w:bCs/>
          <w:spacing w:val="-3"/>
          <w:sz w:val="22"/>
          <w:szCs w:val="22"/>
        </w:rPr>
        <w:t>).</w:t>
      </w:r>
    </w:p>
    <w:p w:rsidR="009B7EF5" w:rsidRDefault="00C70B39" w:rsidP="00C70B39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70B39">
        <w:rPr>
          <w:rFonts w:ascii="Arial" w:hAnsi="Arial" w:cs="Arial"/>
          <w:bCs/>
          <w:spacing w:val="-3"/>
          <w:sz w:val="22"/>
          <w:szCs w:val="22"/>
        </w:rPr>
        <w:t xml:space="preserve">The Bill is the </w:t>
      </w:r>
      <w:r>
        <w:rPr>
          <w:rFonts w:ascii="Arial" w:hAnsi="Arial" w:cs="Arial"/>
          <w:bCs/>
          <w:spacing w:val="-3"/>
          <w:sz w:val="22"/>
          <w:szCs w:val="22"/>
        </w:rPr>
        <w:t>third</w:t>
      </w:r>
      <w:r w:rsidRPr="00C70B39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B7EF5">
        <w:rPr>
          <w:rFonts w:ascii="Arial" w:hAnsi="Arial" w:cs="Arial"/>
          <w:bCs/>
          <w:spacing w:val="-3"/>
          <w:sz w:val="22"/>
          <w:szCs w:val="22"/>
        </w:rPr>
        <w:t xml:space="preserve">and final piece </w:t>
      </w:r>
      <w:r w:rsidRPr="00C70B39">
        <w:rPr>
          <w:rFonts w:ascii="Arial" w:hAnsi="Arial" w:cs="Arial"/>
          <w:bCs/>
          <w:spacing w:val="-3"/>
          <w:sz w:val="22"/>
          <w:szCs w:val="22"/>
        </w:rPr>
        <w:t xml:space="preserve">of the National Law for the National Scheme and is consistent with the Council of Australian Governments (COAG) 2008 </w:t>
      </w:r>
      <w:r w:rsidRPr="00C70B39">
        <w:rPr>
          <w:rFonts w:ascii="Arial" w:hAnsi="Arial" w:cs="Arial"/>
          <w:bCs/>
          <w:i/>
          <w:spacing w:val="-3"/>
          <w:sz w:val="22"/>
          <w:szCs w:val="22"/>
        </w:rPr>
        <w:t>Intergovernmental Agreement for a National Registration and Accreditation Scheme for Health Professions</w:t>
      </w:r>
      <w:r w:rsidR="009B7EF5">
        <w:rPr>
          <w:rFonts w:ascii="Arial" w:hAnsi="Arial" w:cs="Arial"/>
          <w:bCs/>
          <w:spacing w:val="-3"/>
          <w:sz w:val="22"/>
          <w:szCs w:val="22"/>
        </w:rPr>
        <w:t xml:space="preserve"> (the IGA).</w:t>
      </w:r>
    </w:p>
    <w:p w:rsidR="009B7EF5" w:rsidRPr="009B7EF5" w:rsidRDefault="009B7EF5" w:rsidP="009B7EF5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 addition to providing for the consequential and administrative amendments </w:t>
      </w:r>
      <w:r w:rsidR="00487E92">
        <w:rPr>
          <w:rFonts w:ascii="Arial" w:hAnsi="Arial" w:cs="Arial"/>
          <w:bCs/>
          <w:spacing w:val="-3"/>
          <w:sz w:val="22"/>
          <w:szCs w:val="22"/>
        </w:rPr>
        <w:t xml:space="preserve">necessary to support implementation of the National Scheme,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Bill makes </w:t>
      </w:r>
      <w:r w:rsidR="0050341A">
        <w:rPr>
          <w:rFonts w:ascii="Arial" w:hAnsi="Arial" w:cs="Arial"/>
          <w:bCs/>
          <w:spacing w:val="-3"/>
          <w:sz w:val="22"/>
          <w:szCs w:val="22"/>
        </w:rPr>
        <w:t>a minor</w:t>
      </w:r>
      <w:r w:rsidRPr="009B7EF5">
        <w:rPr>
          <w:rFonts w:ascii="Arial" w:hAnsi="Arial" w:cs="Arial"/>
          <w:bCs/>
          <w:spacing w:val="-3"/>
          <w:sz w:val="22"/>
          <w:szCs w:val="22"/>
        </w:rPr>
        <w:t xml:space="preserve"> amendment to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second piece of National Scheme legislation, the </w:t>
      </w:r>
      <w:r w:rsidRPr="001B28C6">
        <w:rPr>
          <w:rFonts w:ascii="Arial" w:hAnsi="Arial" w:cs="Arial"/>
          <w:bCs/>
          <w:spacing w:val="-3"/>
          <w:sz w:val="22"/>
          <w:szCs w:val="22"/>
        </w:rPr>
        <w:t>Health Practitioner Regulation National Law</w:t>
      </w:r>
      <w:r w:rsidR="001B28C6">
        <w:rPr>
          <w:rFonts w:ascii="Arial" w:hAnsi="Arial" w:cs="Arial"/>
          <w:bCs/>
          <w:spacing w:val="-3"/>
          <w:sz w:val="22"/>
          <w:szCs w:val="22"/>
        </w:rPr>
        <w:t>,</w:t>
      </w:r>
      <w:r w:rsidRPr="001B28C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9B7EF5">
        <w:rPr>
          <w:rFonts w:ascii="Arial" w:hAnsi="Arial" w:cs="Arial"/>
          <w:bCs/>
          <w:spacing w:val="-3"/>
          <w:sz w:val="22"/>
          <w:szCs w:val="22"/>
        </w:rPr>
        <w:t>to exempt conciliation processes from the requirement otherwise imposed on health complaints entities to give notice of health practitioner health, conduct or performance issues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9B7EF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0341A">
        <w:rPr>
          <w:rFonts w:ascii="Arial" w:hAnsi="Arial" w:cs="Arial"/>
          <w:bCs/>
          <w:spacing w:val="-3"/>
          <w:sz w:val="22"/>
          <w:szCs w:val="22"/>
        </w:rPr>
        <w:t xml:space="preserve">This amendment will ensure that the statutory privilege currently afforded to the conciliation process remains. </w:t>
      </w:r>
    </w:p>
    <w:p w:rsidR="009B7EF5" w:rsidRDefault="009B7EF5" w:rsidP="00C70B39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B7EF5">
        <w:rPr>
          <w:rFonts w:ascii="Arial" w:hAnsi="Arial" w:cs="Arial"/>
          <w:bCs/>
          <w:spacing w:val="-3"/>
          <w:sz w:val="22"/>
          <w:szCs w:val="22"/>
        </w:rPr>
        <w:t xml:space="preserve">The National Scheme will commence operation on </w:t>
      </w:r>
      <w:smartTag w:uri="urn:schemas-microsoft-com:office:smarttags" w:element="date">
        <w:smartTagPr>
          <w:attr w:name="Month" w:val="7"/>
          <w:attr w:name="Day" w:val="1"/>
          <w:attr w:name="Year" w:val="2010"/>
        </w:smartTagPr>
        <w:r w:rsidRPr="009B7EF5">
          <w:rPr>
            <w:rFonts w:ascii="Arial" w:hAnsi="Arial" w:cs="Arial"/>
            <w:bCs/>
            <w:spacing w:val="-3"/>
            <w:sz w:val="22"/>
            <w:szCs w:val="22"/>
          </w:rPr>
          <w:t>1 July 2010</w:t>
        </w:r>
      </w:smartTag>
      <w:r w:rsidRPr="009B7EF5">
        <w:rPr>
          <w:rFonts w:ascii="Arial" w:hAnsi="Arial" w:cs="Arial"/>
          <w:bCs/>
          <w:spacing w:val="-3"/>
          <w:sz w:val="22"/>
          <w:szCs w:val="22"/>
        </w:rPr>
        <w:t xml:space="preserve"> and is to initially apply to the following ten health professions: chiropractic, dental (dentists, dental prosthetists, dental therapists, dental hygienists and oral health therapists), medicine, nursing and midwifery, optometry, osteopathy, pharmacy, physiotherapy, podiatry and psychology. From </w:t>
      </w:r>
      <w:smartTag w:uri="urn:schemas-microsoft-com:office:smarttags" w:element="date">
        <w:smartTagPr>
          <w:attr w:name="Month" w:val="7"/>
          <w:attr w:name="Day" w:val="1"/>
          <w:attr w:name="Year" w:val="2012"/>
        </w:smartTagPr>
        <w:r w:rsidRPr="009B7EF5">
          <w:rPr>
            <w:rFonts w:ascii="Arial" w:hAnsi="Arial" w:cs="Arial"/>
            <w:bCs/>
            <w:spacing w:val="-3"/>
            <w:sz w:val="22"/>
            <w:szCs w:val="22"/>
          </w:rPr>
          <w:t>1 July 2012</w:t>
        </w:r>
      </w:smartTag>
      <w:r w:rsidRPr="009B7EF5">
        <w:rPr>
          <w:rFonts w:ascii="Arial" w:hAnsi="Arial" w:cs="Arial"/>
          <w:bCs/>
          <w:spacing w:val="-3"/>
          <w:sz w:val="22"/>
          <w:szCs w:val="22"/>
        </w:rPr>
        <w:t>, Aboriginal and Torres Strait Islander health practice, Chinese medicine, medical radiation practice and occupational therapy will also be included in the National Scheme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B7EF5" w:rsidRDefault="009B7EF5" w:rsidP="00C70B39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Implementation of t</w:t>
      </w:r>
      <w:r w:rsidRPr="009B7EF5">
        <w:rPr>
          <w:rFonts w:ascii="Arial" w:hAnsi="Arial" w:cs="Arial"/>
          <w:bCs/>
          <w:spacing w:val="-3"/>
          <w:sz w:val="22"/>
          <w:szCs w:val="22"/>
        </w:rPr>
        <w:t xml:space="preserve">he National Scheme will allow for: improved safeguards for the public </w:t>
      </w:r>
      <w:r w:rsidRPr="009B7EF5">
        <w:rPr>
          <w:rFonts w:ascii="Arial" w:hAnsi="Arial" w:cs="Arial"/>
          <w:bCs/>
          <w:spacing w:val="-3"/>
          <w:sz w:val="22"/>
          <w:szCs w:val="22"/>
          <w:lang w:val="en"/>
        </w:rPr>
        <w:t xml:space="preserve">via the development and implementation of consistent high-quality registration standards; </w:t>
      </w:r>
      <w:r w:rsidRPr="009B7EF5">
        <w:rPr>
          <w:rFonts w:ascii="Arial" w:hAnsi="Arial" w:cs="Arial"/>
          <w:bCs/>
          <w:spacing w:val="-3"/>
          <w:sz w:val="22"/>
          <w:szCs w:val="22"/>
        </w:rPr>
        <w:t>a more flexible, responsive and sustainable health workforce; the ability for registered health practitioners to work across jurisdictions more readily; and the reduction of administrative ‘red tape’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E76292" w:rsidRDefault="00A23B23" w:rsidP="00C70B39">
      <w:pPr>
        <w:numPr>
          <w:ilvl w:val="0"/>
          <w:numId w:val="43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3B23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Pr="00A23B2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C70B39">
        <w:rPr>
          <w:rFonts w:ascii="Arial" w:hAnsi="Arial" w:cs="Arial"/>
          <w:bCs/>
          <w:spacing w:val="-3"/>
          <w:sz w:val="22"/>
          <w:szCs w:val="22"/>
        </w:rPr>
        <w:t>Health Legislation (Health Practitioner Regulation National Law) Amendment Bill 2010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A23B23">
        <w:rPr>
          <w:rFonts w:ascii="Arial" w:hAnsi="Arial" w:cs="Arial"/>
          <w:bCs/>
          <w:spacing w:val="-3"/>
          <w:sz w:val="22"/>
          <w:szCs w:val="22"/>
        </w:rPr>
        <w:t>be introduced into the Legislative Assembly</w:t>
      </w:r>
      <w:r w:rsidR="00D85DA0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A23B23" w:rsidRPr="00A23B23" w:rsidRDefault="00A23B23" w:rsidP="008316A6">
      <w:pPr>
        <w:numPr>
          <w:ilvl w:val="0"/>
          <w:numId w:val="43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A23B23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A23B23" w:rsidRDefault="00DF4453" w:rsidP="008316A6">
      <w:pPr>
        <w:numPr>
          <w:ilvl w:val="0"/>
          <w:numId w:val="5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A23B23" w:rsidRPr="008316A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Health Legislation (Health Practitioner Regulation National Law) Amendment Bill 2010</w:t>
        </w:r>
      </w:hyperlink>
    </w:p>
    <w:p w:rsidR="00C70B39" w:rsidRDefault="00DF4453" w:rsidP="008316A6">
      <w:pPr>
        <w:numPr>
          <w:ilvl w:val="0"/>
          <w:numId w:val="50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A23B23" w:rsidRPr="008316A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</w:t>
        </w:r>
        <w:r w:rsidR="008316A6" w:rsidRPr="008316A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s</w:t>
        </w:r>
      </w:hyperlink>
    </w:p>
    <w:p w:rsidR="002E287D" w:rsidRPr="00C07656" w:rsidRDefault="002E287D" w:rsidP="002E287D">
      <w:pPr>
        <w:jc w:val="both"/>
        <w:rPr>
          <w:rFonts w:ascii="Arial" w:hAnsi="Arial" w:cs="Arial"/>
          <w:sz w:val="22"/>
          <w:szCs w:val="22"/>
        </w:rPr>
      </w:pPr>
    </w:p>
    <w:p w:rsidR="002E287D" w:rsidRPr="00C07656" w:rsidRDefault="002E287D" w:rsidP="002E287D">
      <w:pPr>
        <w:jc w:val="both"/>
        <w:rPr>
          <w:rFonts w:ascii="Arial" w:hAnsi="Arial" w:cs="Arial"/>
          <w:sz w:val="22"/>
          <w:szCs w:val="22"/>
        </w:rPr>
      </w:pPr>
    </w:p>
    <w:p w:rsidR="002E287D" w:rsidRPr="00C07656" w:rsidRDefault="002E287D" w:rsidP="002E287D">
      <w:pPr>
        <w:rPr>
          <w:rFonts w:ascii="Arial" w:hAnsi="Arial" w:cs="Arial"/>
          <w:sz w:val="22"/>
          <w:szCs w:val="22"/>
        </w:rPr>
      </w:pPr>
    </w:p>
    <w:p w:rsidR="002E287D" w:rsidRPr="00C07656" w:rsidRDefault="002E287D" w:rsidP="002E287D">
      <w:pPr>
        <w:rPr>
          <w:rFonts w:ascii="Arial" w:hAnsi="Arial" w:cs="Arial"/>
          <w:sz w:val="22"/>
          <w:szCs w:val="22"/>
        </w:rPr>
      </w:pPr>
    </w:p>
    <w:sectPr w:rsidR="002E287D" w:rsidRPr="00C07656" w:rsidSect="00D85DA0">
      <w:headerReference w:type="default" r:id="rId9"/>
      <w:footerReference w:type="default" r:id="rId10"/>
      <w:headerReference w:type="first" r:id="rId11"/>
      <w:pgSz w:w="11907" w:h="16840" w:code="9"/>
      <w:pgMar w:top="1985" w:right="1418" w:bottom="1191" w:left="1418" w:header="851" w:footer="851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E5" w:rsidRDefault="005636E5">
      <w:r>
        <w:separator/>
      </w:r>
    </w:p>
  </w:endnote>
  <w:endnote w:type="continuationSeparator" w:id="0">
    <w:p w:rsidR="005636E5" w:rsidRDefault="0056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E" w:rsidRPr="001141E1" w:rsidRDefault="00B46A4E" w:rsidP="00B46A4E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E5" w:rsidRDefault="005636E5">
      <w:r>
        <w:separator/>
      </w:r>
    </w:p>
  </w:footnote>
  <w:footnote w:type="continuationSeparator" w:id="0">
    <w:p w:rsidR="005636E5" w:rsidRDefault="0056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E" w:rsidRPr="000400F9" w:rsidRDefault="006747BD" w:rsidP="00B46A4E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2" name="Picture 12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6A4E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B46A4E">
      <w:rPr>
        <w:rFonts w:ascii="Arial" w:hAnsi="Arial" w:cs="Arial"/>
        <w:b/>
        <w:sz w:val="22"/>
        <w:szCs w:val="22"/>
        <w:u w:val="single"/>
      </w:rPr>
      <w:t>month year</w:t>
    </w:r>
  </w:p>
  <w:p w:rsidR="00B46A4E" w:rsidRDefault="00B46A4E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B46A4E" w:rsidRDefault="00B46A4E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B46A4E" w:rsidRPr="00F10DF9" w:rsidRDefault="00B46A4E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22D" w:rsidRPr="00C1322D" w:rsidRDefault="006747BD" w:rsidP="00C1322D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3" name="Picture 13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FA0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C5054A">
      <w:rPr>
        <w:rFonts w:ascii="Arial" w:hAnsi="Arial" w:cs="Arial"/>
        <w:b/>
        <w:sz w:val="22"/>
        <w:szCs w:val="22"/>
        <w:u w:val="single"/>
      </w:rPr>
      <w:t>March 2010</w:t>
    </w:r>
    <w:r w:rsidR="00C5054A" w:rsidRPr="00C1322D">
      <w:rPr>
        <w:rFonts w:ascii="Arial" w:hAnsi="Arial" w:cs="Arial"/>
        <w:b/>
        <w:sz w:val="22"/>
        <w:szCs w:val="22"/>
      </w:rPr>
      <w:t xml:space="preserve"> </w:t>
    </w:r>
    <w:r w:rsidR="00C1322D" w:rsidRPr="00C1322D">
      <w:rPr>
        <w:rFonts w:ascii="Arial" w:hAnsi="Arial" w:cs="Arial"/>
        <w:b/>
        <w:sz w:val="22"/>
        <w:szCs w:val="22"/>
      </w:rPr>
      <w:tab/>
    </w:r>
  </w:p>
  <w:p w:rsidR="006A1FA0" w:rsidRDefault="00C5054A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Health </w:t>
    </w:r>
    <w:r w:rsidR="0024126A">
      <w:rPr>
        <w:rFonts w:ascii="Arial" w:hAnsi="Arial" w:cs="Arial"/>
        <w:b/>
        <w:sz w:val="22"/>
        <w:szCs w:val="22"/>
        <w:u w:val="single"/>
      </w:rPr>
      <w:t xml:space="preserve">Legislation (Health </w:t>
    </w:r>
    <w:r>
      <w:rPr>
        <w:rFonts w:ascii="Arial" w:hAnsi="Arial" w:cs="Arial"/>
        <w:b/>
        <w:sz w:val="22"/>
        <w:szCs w:val="22"/>
        <w:u w:val="single"/>
      </w:rPr>
      <w:t>Practitioner Regulation National Law</w:t>
    </w:r>
    <w:r w:rsidR="0024126A">
      <w:rPr>
        <w:rFonts w:ascii="Arial" w:hAnsi="Arial" w:cs="Arial"/>
        <w:b/>
        <w:sz w:val="22"/>
        <w:szCs w:val="22"/>
        <w:u w:val="single"/>
      </w:rPr>
      <w:t>) Amendment Bill 2010</w:t>
    </w:r>
    <w:r>
      <w:rPr>
        <w:rFonts w:ascii="Arial" w:hAnsi="Arial" w:cs="Arial"/>
        <w:b/>
        <w:sz w:val="22"/>
        <w:szCs w:val="22"/>
        <w:u w:val="single"/>
      </w:rPr>
      <w:t xml:space="preserve"> </w:t>
    </w:r>
  </w:p>
  <w:p w:rsidR="006A1FA0" w:rsidRDefault="00C5054A" w:rsidP="00B46A4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Deputy Premier and Minister for Health </w:t>
    </w:r>
  </w:p>
  <w:p w:rsidR="006A1FA0" w:rsidRPr="00F10DF9" w:rsidRDefault="006A1FA0" w:rsidP="00B46A4E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67703"/>
    <w:multiLevelType w:val="hybridMultilevel"/>
    <w:tmpl w:val="23C23D12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9D44293"/>
    <w:multiLevelType w:val="multilevel"/>
    <w:tmpl w:val="A77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2E4BDC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426ED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2462EBA"/>
    <w:multiLevelType w:val="multilevel"/>
    <w:tmpl w:val="8CF89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03B59"/>
    <w:multiLevelType w:val="hybridMultilevel"/>
    <w:tmpl w:val="765040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7364F0"/>
    <w:multiLevelType w:val="hybridMultilevel"/>
    <w:tmpl w:val="312CCA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2B22F2F"/>
    <w:multiLevelType w:val="multilevel"/>
    <w:tmpl w:val="71CAD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EA576A"/>
    <w:multiLevelType w:val="hybridMultilevel"/>
    <w:tmpl w:val="6D1A0F46"/>
    <w:lvl w:ilvl="0" w:tplc="B532E7C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C3A12"/>
    <w:multiLevelType w:val="hybridMultilevel"/>
    <w:tmpl w:val="C5D28298"/>
    <w:lvl w:ilvl="0" w:tplc="E63C401C">
      <w:start w:val="1"/>
      <w:numFmt w:val="decimal"/>
      <w:lvlText w:val="ATTACHMENT %1:"/>
      <w:lvlJc w:val="left"/>
      <w:pPr>
        <w:tabs>
          <w:tab w:val="num" w:pos="4335"/>
        </w:tabs>
        <w:ind w:left="4335" w:hanging="3975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A3819"/>
    <w:multiLevelType w:val="multilevel"/>
    <w:tmpl w:val="97005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79489D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4BF49EC"/>
    <w:multiLevelType w:val="hybridMultilevel"/>
    <w:tmpl w:val="4F96BF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414B27"/>
    <w:multiLevelType w:val="multilevel"/>
    <w:tmpl w:val="312CC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6C6E82"/>
    <w:multiLevelType w:val="multilevel"/>
    <w:tmpl w:val="2396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7455A01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00B0B4F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597A6A61"/>
    <w:multiLevelType w:val="hybridMultilevel"/>
    <w:tmpl w:val="53068C16"/>
    <w:lvl w:ilvl="0" w:tplc="F440F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4E1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  <w:szCs w:val="16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65E16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87A5E1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9A2334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5C1AB2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5BE4382"/>
    <w:multiLevelType w:val="hybridMultilevel"/>
    <w:tmpl w:val="EDCE97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B67378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4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6B259A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9661B35"/>
    <w:multiLevelType w:val="hybridMultilevel"/>
    <w:tmpl w:val="4F0E57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26922E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26"/>
  </w:num>
  <w:num w:numId="4">
    <w:abstractNumId w:val="41"/>
  </w:num>
  <w:num w:numId="5">
    <w:abstractNumId w:val="18"/>
  </w:num>
  <w:num w:numId="6">
    <w:abstractNumId w:val="38"/>
  </w:num>
  <w:num w:numId="7">
    <w:abstractNumId w:val="6"/>
  </w:num>
  <w:num w:numId="8">
    <w:abstractNumId w:val="32"/>
  </w:num>
  <w:num w:numId="9">
    <w:abstractNumId w:val="30"/>
  </w:num>
  <w:num w:numId="10">
    <w:abstractNumId w:val="24"/>
  </w:num>
  <w:num w:numId="11">
    <w:abstractNumId w:val="7"/>
  </w:num>
  <w:num w:numId="12">
    <w:abstractNumId w:val="34"/>
  </w:num>
  <w:num w:numId="13">
    <w:abstractNumId w:val="25"/>
  </w:num>
  <w:num w:numId="14">
    <w:abstractNumId w:val="28"/>
  </w:num>
  <w:num w:numId="15">
    <w:abstractNumId w:val="39"/>
  </w:num>
  <w:num w:numId="16">
    <w:abstractNumId w:val="28"/>
  </w:num>
  <w:num w:numId="17">
    <w:abstractNumId w:val="4"/>
  </w:num>
  <w:num w:numId="18">
    <w:abstractNumId w:val="23"/>
  </w:num>
  <w:num w:numId="19">
    <w:abstractNumId w:val="1"/>
  </w:num>
  <w:num w:numId="20">
    <w:abstractNumId w:val="16"/>
  </w:num>
  <w:num w:numId="21">
    <w:abstractNumId w:val="1"/>
  </w:num>
  <w:num w:numId="22">
    <w:abstractNumId w:val="39"/>
  </w:num>
  <w:num w:numId="23">
    <w:abstractNumId w:val="28"/>
  </w:num>
  <w:num w:numId="24">
    <w:abstractNumId w:val="4"/>
  </w:num>
  <w:num w:numId="25">
    <w:abstractNumId w:val="23"/>
  </w:num>
  <w:num w:numId="26">
    <w:abstractNumId w:val="2"/>
  </w:num>
  <w:num w:numId="27">
    <w:abstractNumId w:val="35"/>
  </w:num>
  <w:num w:numId="28">
    <w:abstractNumId w:val="12"/>
  </w:num>
  <w:num w:numId="29">
    <w:abstractNumId w:val="42"/>
  </w:num>
  <w:num w:numId="30">
    <w:abstractNumId w:val="15"/>
  </w:num>
  <w:num w:numId="31">
    <w:abstractNumId w:val="9"/>
  </w:num>
  <w:num w:numId="32">
    <w:abstractNumId w:val="8"/>
  </w:num>
  <w:num w:numId="33">
    <w:abstractNumId w:val="27"/>
  </w:num>
  <w:num w:numId="34">
    <w:abstractNumId w:val="33"/>
  </w:num>
  <w:num w:numId="35">
    <w:abstractNumId w:val="36"/>
  </w:num>
  <w:num w:numId="36">
    <w:abstractNumId w:val="11"/>
  </w:num>
  <w:num w:numId="37">
    <w:abstractNumId w:val="37"/>
  </w:num>
  <w:num w:numId="38">
    <w:abstractNumId w:val="21"/>
  </w:num>
  <w:num w:numId="39">
    <w:abstractNumId w:val="20"/>
  </w:num>
  <w:num w:numId="40">
    <w:abstractNumId w:val="17"/>
  </w:num>
  <w:num w:numId="41">
    <w:abstractNumId w:val="5"/>
  </w:num>
  <w:num w:numId="42">
    <w:abstractNumId w:val="14"/>
  </w:num>
  <w:num w:numId="43">
    <w:abstractNumId w:val="43"/>
  </w:num>
  <w:num w:numId="44">
    <w:abstractNumId w:val="40"/>
  </w:num>
  <w:num w:numId="45">
    <w:abstractNumId w:val="3"/>
  </w:num>
  <w:num w:numId="46">
    <w:abstractNumId w:val="13"/>
  </w:num>
  <w:num w:numId="47">
    <w:abstractNumId w:val="29"/>
  </w:num>
  <w:num w:numId="48">
    <w:abstractNumId w:val="10"/>
  </w:num>
  <w:num w:numId="49">
    <w:abstractNumId w:val="22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81"/>
    <w:rsid w:val="000004B1"/>
    <w:rsid w:val="000455EC"/>
    <w:rsid w:val="0005520C"/>
    <w:rsid w:val="00060480"/>
    <w:rsid w:val="000851A4"/>
    <w:rsid w:val="000C1404"/>
    <w:rsid w:val="000E20D0"/>
    <w:rsid w:val="00131475"/>
    <w:rsid w:val="00146E1B"/>
    <w:rsid w:val="00152B45"/>
    <w:rsid w:val="00163781"/>
    <w:rsid w:val="00180EDB"/>
    <w:rsid w:val="00186FC3"/>
    <w:rsid w:val="00187946"/>
    <w:rsid w:val="001A6C84"/>
    <w:rsid w:val="001B28C6"/>
    <w:rsid w:val="001C5C47"/>
    <w:rsid w:val="001F02E8"/>
    <w:rsid w:val="0024126A"/>
    <w:rsid w:val="00252E60"/>
    <w:rsid w:val="002676EC"/>
    <w:rsid w:val="002806B7"/>
    <w:rsid w:val="0029502A"/>
    <w:rsid w:val="002B02FD"/>
    <w:rsid w:val="002D4245"/>
    <w:rsid w:val="002E287D"/>
    <w:rsid w:val="002F4EA3"/>
    <w:rsid w:val="003046FE"/>
    <w:rsid w:val="00310F46"/>
    <w:rsid w:val="00312AA0"/>
    <w:rsid w:val="00326987"/>
    <w:rsid w:val="00341519"/>
    <w:rsid w:val="00355094"/>
    <w:rsid w:val="00360FD6"/>
    <w:rsid w:val="00361B46"/>
    <w:rsid w:val="00392ABB"/>
    <w:rsid w:val="003B4159"/>
    <w:rsid w:val="003C5FA2"/>
    <w:rsid w:val="004367D0"/>
    <w:rsid w:val="00451A6D"/>
    <w:rsid w:val="0045700A"/>
    <w:rsid w:val="004635C1"/>
    <w:rsid w:val="00467A1F"/>
    <w:rsid w:val="00485E0A"/>
    <w:rsid w:val="00487E92"/>
    <w:rsid w:val="0049232B"/>
    <w:rsid w:val="004C0BE3"/>
    <w:rsid w:val="004C565F"/>
    <w:rsid w:val="004C5A54"/>
    <w:rsid w:val="0050341A"/>
    <w:rsid w:val="00515706"/>
    <w:rsid w:val="00522272"/>
    <w:rsid w:val="00540C7B"/>
    <w:rsid w:val="0054673B"/>
    <w:rsid w:val="005535C5"/>
    <w:rsid w:val="00560F27"/>
    <w:rsid w:val="005636E5"/>
    <w:rsid w:val="0056466F"/>
    <w:rsid w:val="00591C4E"/>
    <w:rsid w:val="00595143"/>
    <w:rsid w:val="0059637D"/>
    <w:rsid w:val="005A2C11"/>
    <w:rsid w:val="005A5013"/>
    <w:rsid w:val="005D400B"/>
    <w:rsid w:val="005E408F"/>
    <w:rsid w:val="005F1ED3"/>
    <w:rsid w:val="006051CB"/>
    <w:rsid w:val="00614D3C"/>
    <w:rsid w:val="00627623"/>
    <w:rsid w:val="00630279"/>
    <w:rsid w:val="00631E60"/>
    <w:rsid w:val="0065620E"/>
    <w:rsid w:val="006747BD"/>
    <w:rsid w:val="006862CE"/>
    <w:rsid w:val="006A1FA0"/>
    <w:rsid w:val="006D27D4"/>
    <w:rsid w:val="006D3F7D"/>
    <w:rsid w:val="006F0676"/>
    <w:rsid w:val="006F2F07"/>
    <w:rsid w:val="00706B3C"/>
    <w:rsid w:val="00722D58"/>
    <w:rsid w:val="007370E8"/>
    <w:rsid w:val="00747101"/>
    <w:rsid w:val="00752CFA"/>
    <w:rsid w:val="00770531"/>
    <w:rsid w:val="00774813"/>
    <w:rsid w:val="007A6B61"/>
    <w:rsid w:val="007B7BA6"/>
    <w:rsid w:val="007B7EC7"/>
    <w:rsid w:val="007C0F69"/>
    <w:rsid w:val="007C5D57"/>
    <w:rsid w:val="007E0D92"/>
    <w:rsid w:val="007E18AD"/>
    <w:rsid w:val="00820DA3"/>
    <w:rsid w:val="00827922"/>
    <w:rsid w:val="008316A6"/>
    <w:rsid w:val="00832E6D"/>
    <w:rsid w:val="0083708B"/>
    <w:rsid w:val="0085166C"/>
    <w:rsid w:val="00856692"/>
    <w:rsid w:val="008668E1"/>
    <w:rsid w:val="008727EB"/>
    <w:rsid w:val="0088601C"/>
    <w:rsid w:val="00887450"/>
    <w:rsid w:val="008A64D2"/>
    <w:rsid w:val="008A6A91"/>
    <w:rsid w:val="008B434F"/>
    <w:rsid w:val="008D32D6"/>
    <w:rsid w:val="008E368A"/>
    <w:rsid w:val="008F6FD3"/>
    <w:rsid w:val="0090158F"/>
    <w:rsid w:val="009158FC"/>
    <w:rsid w:val="00952787"/>
    <w:rsid w:val="009710BC"/>
    <w:rsid w:val="009715B0"/>
    <w:rsid w:val="00997C80"/>
    <w:rsid w:val="009A3C33"/>
    <w:rsid w:val="009B581E"/>
    <w:rsid w:val="009B7EF5"/>
    <w:rsid w:val="009D324F"/>
    <w:rsid w:val="009D5BB9"/>
    <w:rsid w:val="009E64A4"/>
    <w:rsid w:val="009F5419"/>
    <w:rsid w:val="00A01E6C"/>
    <w:rsid w:val="00A11FBB"/>
    <w:rsid w:val="00A23B23"/>
    <w:rsid w:val="00A50826"/>
    <w:rsid w:val="00A55E4D"/>
    <w:rsid w:val="00A6221E"/>
    <w:rsid w:val="00A96C88"/>
    <w:rsid w:val="00AC18A4"/>
    <w:rsid w:val="00AD277A"/>
    <w:rsid w:val="00AE6038"/>
    <w:rsid w:val="00B133B9"/>
    <w:rsid w:val="00B21F0C"/>
    <w:rsid w:val="00B26013"/>
    <w:rsid w:val="00B3321A"/>
    <w:rsid w:val="00B34EA8"/>
    <w:rsid w:val="00B46A4E"/>
    <w:rsid w:val="00B474DF"/>
    <w:rsid w:val="00B47527"/>
    <w:rsid w:val="00B577C5"/>
    <w:rsid w:val="00B63382"/>
    <w:rsid w:val="00B83534"/>
    <w:rsid w:val="00BB5E42"/>
    <w:rsid w:val="00BE437D"/>
    <w:rsid w:val="00BE6F32"/>
    <w:rsid w:val="00BF6981"/>
    <w:rsid w:val="00BF6FD4"/>
    <w:rsid w:val="00C12939"/>
    <w:rsid w:val="00C1322D"/>
    <w:rsid w:val="00C23ABB"/>
    <w:rsid w:val="00C2657F"/>
    <w:rsid w:val="00C30329"/>
    <w:rsid w:val="00C325A1"/>
    <w:rsid w:val="00C33C32"/>
    <w:rsid w:val="00C5054A"/>
    <w:rsid w:val="00C56904"/>
    <w:rsid w:val="00C70B39"/>
    <w:rsid w:val="00C8361E"/>
    <w:rsid w:val="00CA045F"/>
    <w:rsid w:val="00CB3466"/>
    <w:rsid w:val="00CC75AD"/>
    <w:rsid w:val="00CE05CC"/>
    <w:rsid w:val="00CE7993"/>
    <w:rsid w:val="00CF0639"/>
    <w:rsid w:val="00D242FE"/>
    <w:rsid w:val="00D44E94"/>
    <w:rsid w:val="00D65E90"/>
    <w:rsid w:val="00D82079"/>
    <w:rsid w:val="00D839ED"/>
    <w:rsid w:val="00D85DA0"/>
    <w:rsid w:val="00DA4564"/>
    <w:rsid w:val="00DA66B6"/>
    <w:rsid w:val="00DC47ED"/>
    <w:rsid w:val="00DC7867"/>
    <w:rsid w:val="00DD4816"/>
    <w:rsid w:val="00DF4453"/>
    <w:rsid w:val="00DF534C"/>
    <w:rsid w:val="00E10C09"/>
    <w:rsid w:val="00E12EBA"/>
    <w:rsid w:val="00E211B0"/>
    <w:rsid w:val="00E456C7"/>
    <w:rsid w:val="00E4797D"/>
    <w:rsid w:val="00E615CF"/>
    <w:rsid w:val="00E6758B"/>
    <w:rsid w:val="00E7213F"/>
    <w:rsid w:val="00E7299C"/>
    <w:rsid w:val="00E76292"/>
    <w:rsid w:val="00E775F7"/>
    <w:rsid w:val="00E819A6"/>
    <w:rsid w:val="00E96B91"/>
    <w:rsid w:val="00EA6D8A"/>
    <w:rsid w:val="00EB4CD3"/>
    <w:rsid w:val="00EC06FB"/>
    <w:rsid w:val="00EE3383"/>
    <w:rsid w:val="00EE5B20"/>
    <w:rsid w:val="00EF4CD1"/>
    <w:rsid w:val="00F17536"/>
    <w:rsid w:val="00FB44DA"/>
    <w:rsid w:val="00FE5652"/>
    <w:rsid w:val="00FE5D77"/>
    <w:rsid w:val="00FE6256"/>
    <w:rsid w:val="00FF533E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27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paragraph" w:customStyle="1" w:styleId="CharCharCharCharChar">
    <w:name w:val="Char Char Char Char Char"/>
    <w:basedOn w:val="Normal"/>
    <w:rsid w:val="008D32D6"/>
    <w:rPr>
      <w:rFonts w:cs="Arial"/>
      <w:b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2036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2348</CharactersWithSpaces>
  <SharedDoc>false</SharedDoc>
  <HyperlinkBase>https://www.cabinet.qld.gov.au/documents/2010/Mar/Health Practitioner Regulation National Law Bill 10/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2010-10-08T10:43:00Z</cp:lastPrinted>
  <dcterms:created xsi:type="dcterms:W3CDTF">2017-10-24T22:20:00Z</dcterms:created>
  <dcterms:modified xsi:type="dcterms:W3CDTF">2018-03-06T01:03:00Z</dcterms:modified>
  <cp:category>COAG,Health,Legislation</cp:category>
</cp:coreProperties>
</file>